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F796" w14:textId="642D6D02" w:rsidR="006E383C" w:rsidRDefault="0006112B" w:rsidP="0006112B">
      <w:pPr>
        <w:spacing w:after="0" w:line="240" w:lineRule="auto"/>
        <w:contextualSpacing/>
        <w:jc w:val="center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C1C1C"/>
          <w:sz w:val="21"/>
          <w:szCs w:val="21"/>
          <w:shd w:val="clear" w:color="auto" w:fill="FFFFFF"/>
        </w:rPr>
        <w:drawing>
          <wp:inline distT="0" distB="0" distL="0" distR="0" wp14:anchorId="5178C7FA" wp14:editId="219CADCB">
            <wp:extent cx="740658" cy="95545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65" cy="10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13CE" w14:textId="7504A579" w:rsidR="001562D9" w:rsidRDefault="006E383C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Değerli Üyemiz,</w:t>
      </w:r>
    </w:p>
    <w:p w14:paraId="7E71F659" w14:textId="77777777" w:rsidR="006E383C" w:rsidRDefault="006E383C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4C96EC76" w14:textId="10BBEC30" w:rsidR="00B507E7" w:rsidRDefault="007D2A78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Galatasaray Spor Kulübü Olağanüstü Seçim Genel Kurul</w:t>
      </w:r>
      <w:r w:rsidR="000A34F3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Toplantısı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, 11 Haziran 2022 tarihinde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Galatasaray Lisesi Tevfik Fikret Salonu’nda, saat 10.00 itibar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ıyla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B507E7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yapılacak açılış ile başlayacaktır. </w:t>
      </w:r>
      <w:r w:rsidR="000A34F3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O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y </w:t>
      </w:r>
      <w:r w:rsidR="00571EC8">
        <w:rPr>
          <w:rFonts w:ascii="Arial" w:hAnsi="Arial" w:cs="Arial"/>
          <w:color w:val="1C1C1C"/>
          <w:sz w:val="21"/>
          <w:szCs w:val="21"/>
          <w:shd w:val="clear" w:color="auto" w:fill="FFFFFF"/>
        </w:rPr>
        <w:t>kullanma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işlemleri</w:t>
      </w:r>
      <w:r w:rsidR="00B507E7">
        <w:rPr>
          <w:rFonts w:ascii="Arial" w:hAnsi="Arial" w:cs="Arial"/>
          <w:color w:val="1C1C1C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Seçim Genel Kurul Divan Heyeti’nin oluşması ve gerekli prosedürlerin tamamlanmasından sonra başlayacaktır. </w:t>
      </w:r>
    </w:p>
    <w:p w14:paraId="234121DD" w14:textId="77777777" w:rsidR="00B507E7" w:rsidRDefault="00B507E7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1B3628A6" w14:textId="31115EE0" w:rsidR="00B507E7" w:rsidRDefault="00BF7479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Olağanüstü Seçim Genel Kurul Toplantısı işleyişinde aksaklıklar yaşanmaması </w:t>
      </w:r>
      <w:r w:rsidR="00DB3FCA">
        <w:rPr>
          <w:rFonts w:ascii="Arial" w:hAnsi="Arial" w:cs="Arial"/>
          <w:color w:val="1C1C1C"/>
          <w:sz w:val="21"/>
          <w:szCs w:val="21"/>
          <w:shd w:val="clear" w:color="auto" w:fill="FFFFFF"/>
        </w:rPr>
        <w:t>adına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aşağıda detayları belirtilen hususları siz değerli üyelerimizin dikkatine sunarız. </w:t>
      </w:r>
    </w:p>
    <w:p w14:paraId="7D48BC33" w14:textId="77777777" w:rsidR="00523012" w:rsidRDefault="00523012" w:rsidP="00523012">
      <w:pPr>
        <w:spacing w:after="0" w:line="240" w:lineRule="auto"/>
        <w:contextualSpacing/>
      </w:pPr>
    </w:p>
    <w:p w14:paraId="6A68F17A" w14:textId="77777777" w:rsidR="00523012" w:rsidRDefault="00523012" w:rsidP="00523012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  <w:r w:rsidRPr="00E53030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Ulaşım</w:t>
      </w:r>
    </w:p>
    <w:p w14:paraId="5704C663" w14:textId="77777777" w:rsidR="00523012" w:rsidRDefault="00523012" w:rsidP="00523012">
      <w:pPr>
        <w:pStyle w:val="ListeParagraf"/>
        <w:spacing w:after="0" w:line="240" w:lineRule="auto"/>
        <w:ind w:left="284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</w:p>
    <w:p w14:paraId="6D3BA179" w14:textId="6E8C5389" w:rsidR="00523012" w:rsidRDefault="00523012" w:rsidP="00523012">
      <w:p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 w:rsidRPr="00E53030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Galatasaray Lisesi’ne ulaşım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üç ayrı </w:t>
      </w:r>
      <w:proofErr w:type="spellStart"/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lokasyondan</w:t>
      </w:r>
      <w:proofErr w:type="spellEnd"/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saat 09.00 itibar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ıyla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yapılacaktır.</w:t>
      </w:r>
    </w:p>
    <w:p w14:paraId="23AE932C" w14:textId="77777777" w:rsidR="00523012" w:rsidRDefault="00523012" w:rsidP="00523012">
      <w:p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7B50CE55" w14:textId="50FB860F" w:rsidR="00523012" w:rsidRDefault="00523012" w:rsidP="00523012">
      <w:pPr>
        <w:spacing w:after="0" w:line="240" w:lineRule="auto"/>
        <w:ind w:left="284"/>
        <w:jc w:val="both"/>
        <w:rPr>
          <w:rFonts w:ascii="Arial" w:hAnsi="Arial" w:cs="Arial"/>
          <w:b/>
          <w:bCs/>
          <w:color w:val="1C1C1C"/>
          <w:sz w:val="21"/>
          <w:szCs w:val="21"/>
          <w:u w:val="single"/>
          <w:shd w:val="clear" w:color="auto" w:fill="FFFFFF"/>
        </w:rPr>
      </w:pPr>
      <w:r w:rsidRPr="00BB0AFA">
        <w:rPr>
          <w:rFonts w:ascii="Arial" w:hAnsi="Arial" w:cs="Arial"/>
          <w:b/>
          <w:bCs/>
          <w:color w:val="1C1C1C"/>
          <w:sz w:val="21"/>
          <w:szCs w:val="21"/>
          <w:u w:val="single"/>
          <w:shd w:val="clear" w:color="auto" w:fill="FFFFFF"/>
        </w:rPr>
        <w:t>Yer</w:t>
      </w:r>
      <w:r w:rsidRPr="00BB0AFA">
        <w:rPr>
          <w:rFonts w:ascii="Arial" w:hAnsi="Arial" w:cs="Arial"/>
          <w:b/>
          <w:bCs/>
          <w:color w:val="1C1C1C"/>
          <w:sz w:val="21"/>
          <w:szCs w:val="21"/>
          <w:u w:val="single"/>
          <w:shd w:val="clear" w:color="auto" w:fill="FFFFFF"/>
        </w:rPr>
        <w:tab/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Pr="00BB0AFA">
        <w:rPr>
          <w:rFonts w:ascii="Arial" w:hAnsi="Arial" w:cs="Arial"/>
          <w:b/>
          <w:bCs/>
          <w:color w:val="1C1C1C"/>
          <w:sz w:val="21"/>
          <w:szCs w:val="21"/>
          <w:u w:val="single"/>
          <w:shd w:val="clear" w:color="auto" w:fill="FFFFFF"/>
        </w:rPr>
        <w:t>Hareket Saati</w:t>
      </w:r>
      <w:r w:rsidR="00C93F40">
        <w:rPr>
          <w:rFonts w:ascii="Arial" w:hAnsi="Arial" w:cs="Arial"/>
          <w:b/>
          <w:bCs/>
          <w:color w:val="1C1C1C"/>
          <w:sz w:val="21"/>
          <w:szCs w:val="21"/>
          <w:u w:val="single"/>
          <w:shd w:val="clear" w:color="auto" w:fill="FFFFFF"/>
        </w:rPr>
        <w:tab/>
      </w:r>
      <w:r w:rsidR="00C93F40" w:rsidRPr="00C93F40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  </w:t>
      </w:r>
      <w:r w:rsidR="00C93F40" w:rsidRPr="00C93F40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ab/>
      </w:r>
      <w:r w:rsidR="00C93F40" w:rsidRPr="00C93F40">
        <w:rPr>
          <w:rFonts w:ascii="Arial" w:hAnsi="Arial" w:cs="Arial"/>
          <w:b/>
          <w:bCs/>
          <w:color w:val="1C1C1C"/>
          <w:sz w:val="21"/>
          <w:szCs w:val="21"/>
          <w:u w:val="single"/>
          <w:shd w:val="clear" w:color="auto" w:fill="FFFFFF"/>
        </w:rPr>
        <w:t>Araç Plaka Numarası</w:t>
      </w:r>
    </w:p>
    <w:p w14:paraId="66087A6E" w14:textId="77777777" w:rsidR="00523012" w:rsidRDefault="00523012" w:rsidP="00523012">
      <w:p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6E4DA8FF" w14:textId="7A5D27AB" w:rsidR="00523012" w:rsidRDefault="00523012" w:rsidP="00523012">
      <w:p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Levent (</w:t>
      </w:r>
      <w:proofErr w:type="spellStart"/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Metro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ity</w:t>
      </w:r>
      <w:proofErr w:type="spellEnd"/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AVM ö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nü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)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09:00</w:t>
      </w:r>
      <w:r w:rsidR="00C93F40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C93F40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C93F40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97357C">
        <w:rPr>
          <w:rFonts w:ascii="Arial" w:hAnsi="Arial" w:cs="Arial"/>
          <w:color w:val="1C1C1C"/>
          <w:sz w:val="21"/>
          <w:szCs w:val="21"/>
          <w:shd w:val="clear" w:color="auto" w:fill="FFFFFF"/>
        </w:rPr>
        <w:t>34 LUU 051</w:t>
      </w:r>
    </w:p>
    <w:p w14:paraId="34593314" w14:textId="4360A6CF" w:rsidR="00523012" w:rsidRDefault="00523012" w:rsidP="00523012">
      <w:p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Yeşilköy (Çınar Otel 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ö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nü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)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09:00</w:t>
      </w:r>
      <w:r w:rsidR="0097357C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97357C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97357C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  <w:t>34 FAN 715</w:t>
      </w:r>
    </w:p>
    <w:p w14:paraId="5D09443B" w14:textId="1D5821EC" w:rsidR="00523012" w:rsidRPr="00E53030" w:rsidRDefault="00523012" w:rsidP="00523012">
      <w:p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Kalamış Tesisleri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  <w:t xml:space="preserve">      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09:00</w:t>
      </w:r>
      <w:r w:rsidR="0097357C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97357C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</w:r>
      <w:r w:rsidR="0097357C">
        <w:rPr>
          <w:rFonts w:ascii="Arial" w:hAnsi="Arial" w:cs="Arial"/>
          <w:color w:val="1C1C1C"/>
          <w:sz w:val="21"/>
          <w:szCs w:val="21"/>
          <w:shd w:val="clear" w:color="auto" w:fill="FFFFFF"/>
        </w:rPr>
        <w:tab/>
        <w:t>34 LHU 863</w:t>
      </w:r>
    </w:p>
    <w:p w14:paraId="478B6D97" w14:textId="77777777" w:rsidR="00523012" w:rsidRPr="007D2A78" w:rsidRDefault="00523012" w:rsidP="00523012">
      <w:pPr>
        <w:spacing w:after="0" w:line="240" w:lineRule="auto"/>
        <w:contextualSpacing/>
      </w:pPr>
      <w:r>
        <w:t xml:space="preserve"> </w:t>
      </w:r>
    </w:p>
    <w:p w14:paraId="7EB1C1B8" w14:textId="67FAA93B" w:rsidR="001562D9" w:rsidRDefault="00BF7479" w:rsidP="00A7461A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Galatasaray Lisesi</w:t>
      </w:r>
      <w:r w:rsidR="00082065">
        <w:t>’</w:t>
      </w:r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ne </w:t>
      </w:r>
      <w:r w:rsidR="001562D9" w:rsidRPr="001562D9"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Giriş</w:t>
      </w:r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ve Çıkış</w:t>
      </w:r>
    </w:p>
    <w:p w14:paraId="22324B84" w14:textId="77777777" w:rsidR="00BF7479" w:rsidRPr="001562D9" w:rsidRDefault="00BF7479" w:rsidP="00BF7479">
      <w:pPr>
        <w:pStyle w:val="ListeParagraf"/>
        <w:spacing w:after="0" w:line="240" w:lineRule="auto"/>
        <w:ind w:left="284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</w:p>
    <w:p w14:paraId="1E532E3B" w14:textId="1460B4FF" w:rsidR="007D2A78" w:rsidRPr="007E6E9E" w:rsidRDefault="007D2A78" w:rsidP="007E6E9E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Üyelerimiz Galatasaray </w:t>
      </w:r>
      <w:r w:rsidRPr="00375CAC">
        <w:rPr>
          <w:rFonts w:ascii="Arial" w:hAnsi="Arial" w:cs="Arial"/>
          <w:color w:val="1C1C1C"/>
          <w:sz w:val="21"/>
          <w:szCs w:val="21"/>
          <w:shd w:val="clear" w:color="auto" w:fill="FFFFFF"/>
        </w:rPr>
        <w:t>Lisesi’ne</w:t>
      </w:r>
      <w:r w:rsidR="001562D9" w:rsidRPr="00375CAC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BF7479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yaya kapısından alınarak </w:t>
      </w:r>
      <w:r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İnan Kıraç </w:t>
      </w:r>
      <w:r w:rsidR="00534C0E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Salonu’</w:t>
      </w:r>
      <w:r w:rsidR="00BF7479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na yönlendirilecektir. </w:t>
      </w:r>
      <w:r w:rsidR="00B507E7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534C0E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Üyelerimizin kimlik bilgilerinin kontrolü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,</w:t>
      </w:r>
      <w:r w:rsidR="00534C0E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BF7479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İnan Kıraç Salonu’nda </w:t>
      </w:r>
      <w:r w:rsidR="006E5FE5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sicil numar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alarına</w:t>
      </w:r>
      <w:r w:rsidR="006E5FE5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göre kurulmuş 5 masad</w:t>
      </w:r>
      <w:r w:rsidR="00534C0E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a</w:t>
      </w:r>
      <w:r w:rsidR="006E5FE5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gerçekleşecektir. Sicil numara aralıkları aşağıda belirtilmiştir. </w:t>
      </w:r>
      <w:r w:rsidR="00DB3FCA">
        <w:rPr>
          <w:rFonts w:ascii="Arial" w:hAnsi="Arial" w:cs="Arial"/>
          <w:color w:val="1C1C1C"/>
          <w:sz w:val="21"/>
          <w:szCs w:val="21"/>
          <w:shd w:val="clear" w:color="auto" w:fill="FFFFFF"/>
        </w:rPr>
        <w:t>Ü</w:t>
      </w:r>
      <w:r w:rsidR="00534C0E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yelerimizin </w:t>
      </w:r>
      <w:r w:rsidR="00DB3FC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bu </w:t>
      </w:r>
      <w:r w:rsidR="00534C0E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kontrol esnasında kimliklerini ibraz etmeleri gerekmekte</w:t>
      </w:r>
      <w:r w:rsidR="001562D9" w:rsidRP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dir.</w:t>
      </w:r>
    </w:p>
    <w:p w14:paraId="13B44C5E" w14:textId="77777777" w:rsidR="006E5FE5" w:rsidRDefault="006E5FE5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tbl>
      <w:tblPr>
        <w:tblW w:w="5613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804"/>
      </w:tblGrid>
      <w:tr w:rsidR="00534C0E" w:rsidRPr="000A34F3" w14:paraId="32810AC8" w14:textId="77777777" w:rsidTr="007E6E9E">
        <w:trPr>
          <w:trHeight w:val="105"/>
        </w:trPr>
        <w:tc>
          <w:tcPr>
            <w:tcW w:w="1809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731DB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0A34F3">
              <w:rPr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MASA NO</w:t>
            </w:r>
          </w:p>
        </w:tc>
        <w:tc>
          <w:tcPr>
            <w:tcW w:w="3804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06A76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0A34F3">
              <w:rPr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NUMARA ARALIĞI</w:t>
            </w:r>
          </w:p>
        </w:tc>
      </w:tr>
      <w:tr w:rsidR="00534C0E" w:rsidRPr="000A34F3" w14:paraId="758B2956" w14:textId="77777777" w:rsidTr="007E6E9E">
        <w:trPr>
          <w:trHeight w:val="10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7734D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1 No.lu Masa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EFFE1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1947-9127</w:t>
            </w:r>
          </w:p>
        </w:tc>
      </w:tr>
      <w:tr w:rsidR="00534C0E" w:rsidRPr="000A34F3" w14:paraId="3A3DE427" w14:textId="77777777" w:rsidTr="007E6E9E">
        <w:trPr>
          <w:trHeight w:val="10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DB6D5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2 No.lu Masa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1C0D7A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9129-12261</w:t>
            </w:r>
          </w:p>
        </w:tc>
      </w:tr>
      <w:tr w:rsidR="00534C0E" w:rsidRPr="000A34F3" w14:paraId="672B23CE" w14:textId="77777777" w:rsidTr="007E6E9E">
        <w:trPr>
          <w:trHeight w:val="10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6760B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3 No.lu Masa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B87F2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12262-14796</w:t>
            </w:r>
          </w:p>
        </w:tc>
      </w:tr>
      <w:tr w:rsidR="00534C0E" w:rsidRPr="000A34F3" w14:paraId="5B422210" w14:textId="77777777" w:rsidTr="007E6E9E">
        <w:trPr>
          <w:trHeight w:val="10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98E51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4 No.lu Masa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5BC9F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14797-17345</w:t>
            </w:r>
          </w:p>
        </w:tc>
      </w:tr>
      <w:tr w:rsidR="00534C0E" w:rsidRPr="000A34F3" w14:paraId="7EA502FD" w14:textId="77777777" w:rsidTr="007E6E9E">
        <w:trPr>
          <w:trHeight w:val="10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194DC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5 No.lu Masa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8759F" w14:textId="77777777" w:rsidR="00534C0E" w:rsidRPr="000A34F3" w:rsidRDefault="00534C0E" w:rsidP="00A7461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A34F3">
              <w:rPr>
                <w:color w:val="000000"/>
                <w:sz w:val="20"/>
                <w:szCs w:val="20"/>
                <w:lang w:eastAsia="tr-TR"/>
              </w:rPr>
              <w:t>17346-19394</w:t>
            </w:r>
          </w:p>
        </w:tc>
      </w:tr>
    </w:tbl>
    <w:p w14:paraId="09D5A505" w14:textId="7E87C6DD" w:rsidR="00BF7479" w:rsidRDefault="00BF7479" w:rsidP="00A7461A">
      <w:pPr>
        <w:spacing w:after="0" w:line="240" w:lineRule="auto"/>
        <w:contextualSpacing/>
      </w:pPr>
    </w:p>
    <w:p w14:paraId="39E50A2A" w14:textId="2A4753E7" w:rsidR="00BF7479" w:rsidRPr="00BF7479" w:rsidRDefault="00BF7479" w:rsidP="007E6E9E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 w:rsidRPr="00BF7479">
        <w:rPr>
          <w:rFonts w:ascii="Arial" w:hAnsi="Arial" w:cs="Arial"/>
          <w:color w:val="1C1C1C"/>
          <w:sz w:val="21"/>
          <w:szCs w:val="21"/>
          <w:shd w:val="clear" w:color="auto" w:fill="FFFFFF"/>
        </w:rPr>
        <w:t>Galatasaray Spor Kulübü üyeleri, akredite basın mensupları ve üyelerimize sağlık sebebi</w:t>
      </w:r>
      <w:r w:rsidR="00082065">
        <w:rPr>
          <w:rFonts w:ascii="Arial" w:hAnsi="Arial" w:cs="Arial"/>
          <w:color w:val="1C1C1C"/>
          <w:sz w:val="21"/>
          <w:szCs w:val="21"/>
          <w:shd w:val="clear" w:color="auto" w:fill="FFFFFF"/>
        </w:rPr>
        <w:t>yle</w:t>
      </w:r>
      <w:r w:rsidRPr="00BF7479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refakat eden kişiler dışında Galatasaray Lisesi’ne </w:t>
      </w:r>
      <w:r w:rsidR="00394C96" w:rsidRPr="00BF7479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kimse </w:t>
      </w:r>
      <w:r w:rsidRPr="00BF7479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alınmayacaktır. </w:t>
      </w:r>
    </w:p>
    <w:p w14:paraId="79C90A3D" w14:textId="309AC1CB" w:rsidR="00BF7479" w:rsidRPr="00BF7479" w:rsidRDefault="00BF7479" w:rsidP="00BF7479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3C09577F" w14:textId="42C7C90A" w:rsidR="00BF7479" w:rsidRPr="00BF7479" w:rsidRDefault="00BF7479" w:rsidP="007E6E9E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 w:rsidRPr="00BF7479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Galatasaray Lisesi’ne araç girişi mümkün değildir. </w:t>
      </w:r>
    </w:p>
    <w:p w14:paraId="05784FCA" w14:textId="142FB241" w:rsidR="00BF7479" w:rsidRDefault="00BF7479" w:rsidP="00A7461A">
      <w:pPr>
        <w:spacing w:after="0" w:line="240" w:lineRule="auto"/>
        <w:contextualSpacing/>
      </w:pPr>
    </w:p>
    <w:p w14:paraId="496A4E96" w14:textId="694970D0" w:rsidR="001562D9" w:rsidRDefault="006E5FE5" w:rsidP="00A7461A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Sandık Yönlendirme </w:t>
      </w:r>
    </w:p>
    <w:p w14:paraId="499CC3FE" w14:textId="77777777" w:rsidR="00BF7479" w:rsidRPr="005E5BA2" w:rsidRDefault="00BF7479" w:rsidP="00BF7479">
      <w:pPr>
        <w:pStyle w:val="ListeParagraf"/>
        <w:spacing w:after="0" w:line="240" w:lineRule="auto"/>
        <w:ind w:left="284"/>
        <w:jc w:val="both"/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</w:pPr>
    </w:p>
    <w:p w14:paraId="31733D14" w14:textId="4BB49675" w:rsidR="001562D9" w:rsidRDefault="005E5BA2" w:rsidP="007E6E9E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 w:rsidRPr="005E5BA2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Toplam 24 sandıkta yapılacak oy </w:t>
      </w:r>
      <w:r w:rsidR="00571EC8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kullanma </w:t>
      </w:r>
      <w:r w:rsidRPr="005E5BA2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işlemleri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aşağıda</w:t>
      </w:r>
      <w:r w:rsid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belirtilen sınıflarda</w:t>
      </w:r>
      <w:r w:rsidR="00B6074E">
        <w:rPr>
          <w:rFonts w:ascii="Arial" w:hAnsi="Arial" w:cs="Arial"/>
          <w:color w:val="1C1C1C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detayları belirtilen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sicil numara aralı</w:t>
      </w:r>
      <w:r w:rsid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>k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larına göre </w:t>
      </w:r>
      <w:r w:rsid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gerçekleşecektir. </w:t>
      </w:r>
    </w:p>
    <w:p w14:paraId="654E3B85" w14:textId="77777777" w:rsidR="00B507E7" w:rsidRPr="005E5BA2" w:rsidRDefault="00B507E7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21B67872" w14:textId="0D77064F" w:rsidR="00A7461A" w:rsidRDefault="00A7461A" w:rsidP="007E6E9E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Oy </w:t>
      </w:r>
      <w:r w:rsidR="00571EC8">
        <w:rPr>
          <w:rFonts w:ascii="Arial" w:hAnsi="Arial" w:cs="Arial"/>
          <w:color w:val="1C1C1C"/>
          <w:sz w:val="21"/>
          <w:szCs w:val="21"/>
          <w:shd w:val="clear" w:color="auto" w:fill="FFFFFF"/>
        </w:rPr>
        <w:t>kullanma</w:t>
      </w:r>
      <w:r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işlemlerinin</w:t>
      </w:r>
      <w:r w:rsidR="00B6074E">
        <w:rPr>
          <w:rFonts w:ascii="Arial" w:hAnsi="Arial" w:cs="Arial"/>
          <w:color w:val="1C1C1C"/>
          <w:sz w:val="21"/>
          <w:szCs w:val="21"/>
          <w:shd w:val="clear" w:color="auto" w:fill="FFFFFF"/>
        </w:rPr>
        <w:t>,</w:t>
      </w:r>
      <w:r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Seçim Genel Kurul Divan Heyeti’nin oluşması ve gerekli prosedürlerin tamamlanmasından sonra başlayacağını hatırlatmak isteriz. Seçim esasları</w:t>
      </w:r>
      <w:r w:rsidR="00E53030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bilgilendirmesi</w:t>
      </w:r>
      <w:r w:rsidR="00B6074E">
        <w:rPr>
          <w:rFonts w:ascii="Arial" w:hAnsi="Arial" w:cs="Arial"/>
          <w:color w:val="1C1C1C"/>
          <w:sz w:val="21"/>
          <w:szCs w:val="21"/>
          <w:shd w:val="clear" w:color="auto" w:fill="FFFFFF"/>
        </w:rPr>
        <w:t>,</w:t>
      </w:r>
      <w:r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E53030"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9 Haziran 2022 tarihinde Kulübümüzün </w:t>
      </w:r>
      <w:proofErr w:type="gramStart"/>
      <w:r w:rsidR="00E53030"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>resmi</w:t>
      </w:r>
      <w:proofErr w:type="gramEnd"/>
      <w:r w:rsidR="00E53030"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web sitesinden </w:t>
      </w:r>
      <w:r w:rsidR="00E53030">
        <w:rPr>
          <w:rFonts w:ascii="Arial" w:hAnsi="Arial" w:cs="Arial"/>
          <w:color w:val="1C1C1C"/>
          <w:sz w:val="21"/>
          <w:szCs w:val="21"/>
          <w:shd w:val="clear" w:color="auto" w:fill="FFFFFF"/>
        </w:rPr>
        <w:t>“</w:t>
      </w:r>
      <w:r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>Divan Başkanlığı Bildiri</w:t>
      </w:r>
      <w:r w:rsidR="00B507E7">
        <w:rPr>
          <w:rFonts w:ascii="Arial" w:hAnsi="Arial" w:cs="Arial"/>
          <w:color w:val="1C1C1C"/>
          <w:sz w:val="21"/>
          <w:szCs w:val="21"/>
          <w:shd w:val="clear" w:color="auto" w:fill="FFFFFF"/>
        </w:rPr>
        <w:t>si</w:t>
      </w:r>
      <w:r w:rsidR="00E53030">
        <w:rPr>
          <w:rFonts w:ascii="Arial" w:hAnsi="Arial" w:cs="Arial"/>
          <w:color w:val="1C1C1C"/>
          <w:sz w:val="21"/>
          <w:szCs w:val="21"/>
          <w:shd w:val="clear" w:color="auto" w:fill="FFFFFF"/>
        </w:rPr>
        <w:t>” başlığı altında</w:t>
      </w:r>
      <w:r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 w:rsidR="00E53030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siz </w:t>
      </w:r>
      <w:r w:rsidRPr="00A7461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değerli üyelerimize yapılmıştır. </w:t>
      </w:r>
    </w:p>
    <w:p w14:paraId="5D58FB77" w14:textId="4179BA6C" w:rsidR="006E5FE5" w:rsidRDefault="006E5FE5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75F1996C" w14:textId="623AC18C" w:rsidR="006E5FE5" w:rsidRDefault="006E5FE5" w:rsidP="0032110E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İnan Kıraç Salonu’nda ve bahçede sandığınıza ulaşmak için gerekli yönlendirme tabelaları bulunacaktır. </w:t>
      </w:r>
    </w:p>
    <w:p w14:paraId="03200AE1" w14:textId="7F4E063E" w:rsidR="007E6E9E" w:rsidRDefault="007E6E9E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6F5274AE" w14:textId="0F07C1DC" w:rsidR="007E6E9E" w:rsidRDefault="00B6074E" w:rsidP="0032110E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S</w:t>
      </w:r>
      <w:r w:rsid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ize göndermiş olduğumuz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list</w:t>
      </w:r>
      <w:r w:rsidR="00DB3FCA">
        <w:rPr>
          <w:rFonts w:ascii="Arial" w:hAnsi="Arial" w:cs="Arial"/>
          <w:color w:val="1C1C1C"/>
          <w:sz w:val="21"/>
          <w:szCs w:val="21"/>
          <w:shd w:val="clear" w:color="auto" w:fill="FFFFFF"/>
        </w:rPr>
        <w:t>e</w:t>
      </w:r>
      <w:r w:rsid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de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>,</w:t>
      </w:r>
      <w:r w:rsid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sicil numaranıza göre </w:t>
      </w:r>
      <w:r w:rsid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>hangi sandıkta oy kullanacağınızı ve sandığınız</w:t>
      </w:r>
      <w:r w:rsidR="00DB3FCA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a </w:t>
      </w:r>
      <w:r w:rsid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hangi kapıdan </w:t>
      </w:r>
      <w:r w:rsidR="00DB3FCA">
        <w:rPr>
          <w:rFonts w:ascii="Arial" w:hAnsi="Arial" w:cs="Arial"/>
          <w:color w:val="1C1C1C"/>
          <w:sz w:val="21"/>
          <w:szCs w:val="21"/>
          <w:shd w:val="clear" w:color="auto" w:fill="FFFFFF"/>
        </w:rPr>
        <w:t>girerek ulaşabileceğinizi</w:t>
      </w:r>
      <w:r w:rsidR="007E6E9E">
        <w:rPr>
          <w:rFonts w:ascii="Arial" w:hAnsi="Arial" w:cs="Arial"/>
          <w:color w:val="1C1C1C"/>
          <w:sz w:val="21"/>
          <w:szCs w:val="21"/>
          <w:shd w:val="clear" w:color="auto" w:fill="FFFFFF"/>
        </w:rPr>
        <w:t xml:space="preserve"> görebilirsiniz. </w:t>
      </w:r>
    </w:p>
    <w:p w14:paraId="2CA558C7" w14:textId="5E4B84BC" w:rsidR="007E6E9E" w:rsidRDefault="007E6E9E" w:rsidP="00A7461A">
      <w:pPr>
        <w:spacing w:after="0" w:line="240" w:lineRule="auto"/>
        <w:contextualSpacing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41C01F40" w14:textId="77777777" w:rsidR="00375CAC" w:rsidRPr="00375CAC" w:rsidRDefault="00375CAC" w:rsidP="00375CAC">
      <w:pPr>
        <w:pStyle w:val="ListeParagraf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0897C729" w14:textId="498B0B65" w:rsidR="00375CAC" w:rsidRDefault="00375CAC" w:rsidP="00375CAC">
      <w:pPr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7640ED84" w14:textId="69E2B2F7" w:rsidR="00375CAC" w:rsidRDefault="0006112B" w:rsidP="00375CAC">
      <w:pPr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  <w:r w:rsidRPr="00852580">
        <w:rPr>
          <w:noProof/>
        </w:rPr>
        <w:drawing>
          <wp:inline distT="0" distB="0" distL="0" distR="0" wp14:anchorId="38F89D00" wp14:editId="74B7566C">
            <wp:extent cx="5760720" cy="77038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192C" w14:textId="2394788F" w:rsidR="00375CAC" w:rsidRDefault="00375CAC" w:rsidP="0006112B">
      <w:pPr>
        <w:spacing w:after="0" w:line="240" w:lineRule="auto"/>
        <w:jc w:val="center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5C5E78C4" w14:textId="77A7C3CE" w:rsidR="00375CAC" w:rsidRDefault="00375CAC" w:rsidP="00375CAC">
      <w:pPr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76DC4CFE" w14:textId="77777777" w:rsidR="00705932" w:rsidRDefault="00705932" w:rsidP="00375CAC">
      <w:pPr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14:paraId="0D3766CC" w14:textId="31E03BC9" w:rsidR="00375CAC" w:rsidRPr="00375CAC" w:rsidRDefault="00375CAC" w:rsidP="00375CAC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24DCB744" w14:textId="35CFB098" w:rsidR="00375CAC" w:rsidRPr="00375CAC" w:rsidRDefault="00375CAC" w:rsidP="00375CAC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08CA5261" w14:textId="2ED77DF7" w:rsidR="00A7461A" w:rsidRDefault="00A7461A" w:rsidP="00A7461A">
      <w:pPr>
        <w:spacing w:after="0" w:line="240" w:lineRule="auto"/>
        <w:contextualSpacing/>
      </w:pPr>
    </w:p>
    <w:p w14:paraId="344F8791" w14:textId="6A10A2E2" w:rsidR="00E53030" w:rsidRDefault="00E53030" w:rsidP="00A7461A">
      <w:pPr>
        <w:spacing w:after="0" w:line="240" w:lineRule="auto"/>
        <w:contextualSpacing/>
      </w:pPr>
    </w:p>
    <w:sectPr w:rsidR="00E53030" w:rsidSect="006E5FE5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B0A"/>
    <w:multiLevelType w:val="hybridMultilevel"/>
    <w:tmpl w:val="ADC62908"/>
    <w:lvl w:ilvl="0" w:tplc="FADC81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741"/>
    <w:multiLevelType w:val="hybridMultilevel"/>
    <w:tmpl w:val="0F5A4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6226">
    <w:abstractNumId w:val="1"/>
  </w:num>
  <w:num w:numId="2" w16cid:durableId="22965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4"/>
    <w:rsid w:val="0006112B"/>
    <w:rsid w:val="00082065"/>
    <w:rsid w:val="000A34F3"/>
    <w:rsid w:val="000B0D6F"/>
    <w:rsid w:val="001562D9"/>
    <w:rsid w:val="00276B30"/>
    <w:rsid w:val="0032110E"/>
    <w:rsid w:val="00375CAC"/>
    <w:rsid w:val="00394C96"/>
    <w:rsid w:val="00523012"/>
    <w:rsid w:val="00534C0E"/>
    <w:rsid w:val="005569E1"/>
    <w:rsid w:val="00571EC8"/>
    <w:rsid w:val="005E5BA2"/>
    <w:rsid w:val="006E383C"/>
    <w:rsid w:val="006E5FE5"/>
    <w:rsid w:val="00705932"/>
    <w:rsid w:val="007C4AF9"/>
    <w:rsid w:val="007D2A78"/>
    <w:rsid w:val="007E6E9E"/>
    <w:rsid w:val="00852580"/>
    <w:rsid w:val="0097357C"/>
    <w:rsid w:val="00A7461A"/>
    <w:rsid w:val="00B327E4"/>
    <w:rsid w:val="00B507E7"/>
    <w:rsid w:val="00B6074E"/>
    <w:rsid w:val="00BB0AFA"/>
    <w:rsid w:val="00BE290E"/>
    <w:rsid w:val="00BF7479"/>
    <w:rsid w:val="00C93F40"/>
    <w:rsid w:val="00D742C0"/>
    <w:rsid w:val="00DB3FCA"/>
    <w:rsid w:val="00E5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E034"/>
  <w15:chartTrackingRefBased/>
  <w15:docId w15:val="{197FDE53-8EB5-4860-8A2B-66FF26C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Gürtel</dc:creator>
  <cp:keywords/>
  <dc:description/>
  <cp:lastModifiedBy>Ömer Siber</cp:lastModifiedBy>
  <cp:revision>3</cp:revision>
  <dcterms:created xsi:type="dcterms:W3CDTF">2022-06-10T08:29:00Z</dcterms:created>
  <dcterms:modified xsi:type="dcterms:W3CDTF">2022-06-10T10:06:00Z</dcterms:modified>
</cp:coreProperties>
</file>